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B4" w:rsidRPr="00BA2AF9" w:rsidRDefault="00214CB4" w:rsidP="00214CB4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«Страховое дело» для студентов факультета ПСО (Право и организация социального обеспечения) 3 курс, преподаватель Гасанова С.Р.</w:t>
      </w:r>
    </w:p>
    <w:p w:rsidR="00C44DBC" w:rsidRPr="00C44DBC" w:rsidRDefault="00C44DBC" w:rsidP="00C4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4DBC">
        <w:rPr>
          <w:rFonts w:ascii="Times New Roman" w:hAnsi="Times New Roman" w:cs="Times New Roman"/>
          <w:b/>
          <w:sz w:val="28"/>
          <w:szCs w:val="28"/>
        </w:rPr>
        <w:t xml:space="preserve">Тема: Обзор страхового рынка России. Перспективы развития </w:t>
      </w:r>
    </w:p>
    <w:p w:rsidR="00F1434C" w:rsidRPr="00C44DBC" w:rsidRDefault="00C44DBC" w:rsidP="00C4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DBC">
        <w:rPr>
          <w:rFonts w:ascii="Times New Roman" w:hAnsi="Times New Roman" w:cs="Times New Roman"/>
          <w:sz w:val="28"/>
          <w:szCs w:val="28"/>
        </w:rPr>
        <w:t xml:space="preserve">По состоянию на 1 января 2005 г. в России зарегистрировано 1397 страховых компаний. Совокупный уставный капитал страховых организаций достиг 76,3 млрд. руб. Число зарегистрированных страховых брокеров превысило 1300. Совокупный объем страховой премии, полученной российскими страховыми организациями в 2004 г., составил 432 млрд. руб. (144% к соответствующему периоду 2003 г.). При этом на протяжении последних лет в целом отмечается стабильный, хоть и не столь значительный, рост доли страховых премий во внутреннем валовом продукте (ВВП). В начале 90-х годов данный показатель не превышал 1,5%, а по итогам 2004 г. составил уже 3,3%. Опережающими темпами, по-прежнему, развивалось добровольное страхование. Удельный вес страховых взносов по добровольному страхованию достиг в 2003 г. 76,2% общего объема страховой премии. Увеличение темпов и объемов поступления страховой премии достигнуто за счет опережающих темпов роста обязательного страхования (прежде всего обязательного страхования автогражданской ответственности) - 166,1% к соответствующему периоду 2003 г., страхования жизни - 143,8%, имущественного страхования - 139,5%. Несмотря на отказ многих страховщиков от т. н. «зарплатных» схем, страхование жизни продолжает оставаться в абсолютном выражении лидером среди страховых услуг, предлагаемых российскими страховщиками, - 149,4 млрд. руб. На его долю приходится 27 34,5% общего объема поступлений страховых взносов. Страховые выплаты по страхованию жизни составляют 55,3% от общей суммы страховых выплат. На страховом рынке России зарегистрированы и действуют страховые организации с иностранным участием, их удельный вес в общей численности российских страховщиков составляет чуть более 3%. Иностранные страховщики представлены такими крупнейшими международными компаниями, как AIG,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Allianz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Zurich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и др. Вместе с тем, доля иностранного участия в совокупном уставном капитале российских страховых организаций по состоянию на 1 января 2005 г. составляет 2,72%. Совокупная доля страховщиков с иностранным участием в общем объеме страховой премии, собранной по итогам 2004 г., составляет 16,7% (72,3 млрд. руб.), а в общем объеме выплат - около 13,25% (37,7 млрд. руб.). Количество профессиональных перестраховочных организаций в России остается практически неизменным в течение ряда последних лет и составляет порядка 30 компаний. В Российской Федерации открыли свои представительства крупнейшие международные перестраховщики: </w:t>
      </w:r>
      <w:r w:rsidRPr="00C44DBC">
        <w:rPr>
          <w:rFonts w:ascii="Times New Roman" w:hAnsi="Times New Roman" w:cs="Times New Roman"/>
          <w:sz w:val="28"/>
          <w:szCs w:val="28"/>
        </w:rPr>
        <w:lastRenderedPageBreak/>
        <w:t xml:space="preserve">Мюнхенское и Швейцарское перестраховочные общества, группа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Cologne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, SCOR, а также международные брокеры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Marsh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McLennan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AONCorp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Willis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Faber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Dumas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DBC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C44DBC">
        <w:rPr>
          <w:rFonts w:ascii="Times New Roman" w:hAnsi="Times New Roman" w:cs="Times New Roman"/>
          <w:sz w:val="28"/>
          <w:szCs w:val="28"/>
        </w:rPr>
        <w:t xml:space="preserve"> и др. Характерным признаком отечественного рынка страховых услуг является крайне высокая потребность в международном перестраховании, что объясняется достаточно низкой капитализацией национального страхового и перестраховочного рынков. Вместе с тем, несмотря на объективную обусловленность перестрахования наиболее крупных рисков за рубежом, порядок и масштабы этого процесса должны регулироваться как экономически (повышением емкости российского рынка), так и юридически (определением условий и пределов такого перестрахования). Анализ текущего состояния и важнейших тенденций развития национальной системы страхования свидетельствуют о возможности качественного повышения роли страхования в социально-экономической системе государства, а также повышения уровня государственного регулирования рынка. Доля совокупной страховой премии в ВВП в среднесрочной перспективе предположительно составит 5-6% (для сравнения, аналогичный показатель в среднем по странам Евросоюза составляет 8,6%, а наивысший по ЕС - в Великобритании - более 14%). Рост объема страховых премий позволит страховщикам аккумулировать дополнительные финансовые средства, которые послужат немаловажным источником инвестирования в экономику страны. Такие виды страхования, как долгосрочное страхование жизни, пенсионное страхование, добровольное медицинское страхование, становится важным элементом системы социальной защиты и получают дальнейшее развитие. Приоритетной составляющей страховой отрасли России становится обязательное страхование. Можно полагать перспективными ряд новых направлений в промышленном страховании, прежде всего - в сфере страхования финансовых рисков и опасных объектов. В структуре распределения рисков уже сегодня появилась устойчивая тенденция к сокращению той ее доли, которая не обеспечена страховой защитой. Это, в свою очередь, приведет к сокращению бюджетной нагрузки, связанной с необходимостью ликвидации последствий катастроф, стихийных бедствий и иных событий, наносящих значительный ущерб экономике, а также обеспечит необходимую социальную поддержку населения. Развитие страховой отрасли требует совершенствования законодательства Российской Федерации, определяющего ее нормативно-правовую базу оказывающего влияние на ее развитие. Приоритетные направления развития страхового рынка: - развитие обязательных и добровольных видов страхования; - повышение капитализации страхового рынка; 28 - совершенствование налогообложения; - регулирование страховых и перестраховочных операций в целях перекрытия каналов «отмывания доходов»; - разработка инструментария по инвестированию средств страховых резервов; - антимонопольное регулирование страхового рынка; - реформирование бухгалтерского учета и </w:t>
      </w:r>
      <w:r w:rsidRPr="00C44DBC">
        <w:rPr>
          <w:rFonts w:ascii="Times New Roman" w:hAnsi="Times New Roman" w:cs="Times New Roman"/>
          <w:sz w:val="28"/>
          <w:szCs w:val="28"/>
        </w:rPr>
        <w:lastRenderedPageBreak/>
        <w:t>отчетности; - либерализация условий участия иностранного капитала на российском страховом рынке; - совершенствование и развитие законодательства, регулирующего страховой рынок, государственного страхового надзора. В основу государственного регулирования и надзора в сфере страхования положен принцип соблюдения требований участниками страхового рынка законодательства о страховании. Реформирование системы федеральных органов исполнительной власти, к компетенции которых отнесены вопросы регулирования и надзора в сфере страховой деятельности (Министерство финансов РФ и Федеральная служба страхового надзора соответственно) призвано содействовать появлению на рынке страховщиков, имеющих прочную финансовую устойчивость, пресечению деятельности недобросовестных компаний, которые могут нанести вред страховому делу и ущерб интересам страхователей. Государство и впредь будет уделять большое внимание созданию условий для здоровой конкуренции на страховом рынке, эффективному развитию услуг, повышению культуры страхования и его престижа, созданию полной инфраструктуры страхового рынка и инвестиционных инструментов. Страхование в России, по-прежнему, переживает достаточно бурное и насыщенное различными событиями и новациями время. Это касается формирования конкурентоспособной структуры рынка, выхода на этот рынок качественно новых страховщиков, предлагающих большой выбор нетрадиционных видов страхования и направлений страховой деятельности. При этом в процессе развития страхового сектора экономики не должно наблюдаться стремления перешагнуть через целые эпохи развития отрасли, пройденные западными страховщиками. Ведь это чревато крупными издержками, некоторыми отступлениями в поступательном движении отрасли, иногда неразрешимыми проблемами. Первоочередными задачами в настоящее время являются включение страхового дела в сферу общегосударственной экономической политики, совершенствование правовой базы, форм организации и государственного регулирования страховой отрасли, либерализация национального страхового рынка и его последующая интеграция а мировой рынок.</w:t>
      </w:r>
    </w:p>
    <w:sectPr w:rsidR="00F1434C" w:rsidRPr="00C4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9"/>
    <w:rsid w:val="00214CB4"/>
    <w:rsid w:val="004E0B69"/>
    <w:rsid w:val="00C44DBC"/>
    <w:rsid w:val="00F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C09A-2833-4441-BF25-E3F73082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3</cp:revision>
  <dcterms:created xsi:type="dcterms:W3CDTF">2020-04-12T20:24:00Z</dcterms:created>
  <dcterms:modified xsi:type="dcterms:W3CDTF">2020-04-12T20:30:00Z</dcterms:modified>
</cp:coreProperties>
</file>