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lang w:eastAsia="ru-RU"/>
        </w:rPr>
        <w:t>Лекция</w:t>
      </w:r>
      <w:r w:rsid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lang w:eastAsia="ru-RU"/>
        </w:rPr>
        <w:t xml:space="preserve"> </w:t>
      </w: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lang w:eastAsia="ru-RU"/>
        </w:rPr>
        <w:t>№</w:t>
      </w:r>
      <w:r w:rsid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lang w:eastAsia="ru-RU"/>
        </w:rPr>
        <w:t xml:space="preserve"> </w:t>
      </w: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lang w:eastAsia="ru-RU"/>
        </w:rPr>
        <w:t>5</w:t>
      </w:r>
      <w:r w:rsid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lang w:eastAsia="ru-RU"/>
        </w:rPr>
        <w:t xml:space="preserve">. </w:t>
      </w: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lang w:eastAsia="ru-RU"/>
        </w:rPr>
        <w:t xml:space="preserve">  Методы фармацевтического анализа.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Фармацевтический анализ – это наука о химической характеристике и измерении биологически активных веществ на всех этапах производства: от контроля сырья до оценки качества полученного лекарственного вещества, изучения его стабильности, установления сроков годности и  стандартизации готовой лекарственной формы. Особенностями фармацевтического анализа является его многогранность и многообразие веществ или их смесей, в том числе индивидуальные химические вещества, сложные смеси биологич</w:t>
      </w:r>
      <w:r w:rsidR="00E138C6"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еских веществ (белков, углеводов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,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олигопептидов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и т.д.). Способы анализа нуждаются в постоянном совершенствовании и,</w:t>
      </w:r>
      <w:r w:rsidR="00E138C6"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если в УП фармакопее превалировали химические методы, в том числе качественные реакции, то на современном этапе используются преимущественно физико-химические и физические методы анализа.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Фармацевтический анализ в зависимости от поставленных задач включает различные аспекты контроля качества лекарств: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br/>
        <w:t>1. Фармакопейный анализ;</w:t>
      </w:r>
    </w:p>
    <w:p w:rsidR="000A4CAE" w:rsidRPr="00A009C2" w:rsidRDefault="000A4CAE" w:rsidP="00A009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2.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Постадийный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контроль производства лекарственных средств;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br/>
        <w:t>3. Анализ лекарственных средств индивидуального изготовления.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Основным и наиболее существенным является фармакопейный анализ, т.е. анализ лекарственных средств на соответствие стандарту – фармакопейной статье или иному НД и, таким образом, подтверждение его пригодности. Отсюда и требования к высокой специфичности, селективности, точности и достоверности анализа.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Заключение о качестве лекарственного средства можно сделать только на основании анализа пробы (статистически достоверной выборки). Порядок отбора пробы указан либо в частной статье, либо в общей статье ГФ Х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1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изд. (вып.2) с.15. Для проведения испытания лекарственных средств на соответствие требованиям нормативно-технической документации проводят многоступенчатый отбор проб (выборок). При многоступенчатом отборе 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lastRenderedPageBreak/>
        <w:t>пробу (выборку) образуют по ступеням и продукцию в каждой ступени отбирают случайным образом в пропорциональных количествах из единиц, отобранных в предыдущей ступени. Число ступеней определяется видом упаковки.</w:t>
      </w:r>
    </w:p>
    <w:p w:rsidR="00A009C2" w:rsidRDefault="000A4CAE" w:rsidP="00A009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1 ступень: отбор единиц упаковочной тары (ящиков, коробок и т.д.);</w:t>
      </w:r>
    </w:p>
    <w:p w:rsidR="00A009C2" w:rsidRDefault="000A4CAE" w:rsidP="00A009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2 ступень: отбор упаковочных единиц, находящихся в упаковочной таре (коробок, флаконов, банок и т.д.);</w:t>
      </w:r>
    </w:p>
    <w:p w:rsidR="000A4CAE" w:rsidRPr="00A009C2" w:rsidRDefault="000A4CAE" w:rsidP="00A009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3 ступень: отбор продукции в первичной упаковке (ампул, флаконов, контурных упаковок и т.д.).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Конкретный порядок формирования выборки подробно описан в ГФ Х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1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издания, вып.2. При этом анализ считается достоверным при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воспроизводимости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как минимум четырех проб.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Критерии фармацевтического анализа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Для различных целей анализа имеют значения такие критерии как </w:t>
      </w: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избирательность анализа, чувствительность, точность, время выполнения анализа, количество испытуемого вещества.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Избирательность анализа имеет существенное значение при анализе сложных препаратов, состоящих из нескольких действующих компонентов. В этом случае очень важна избирательность анализа для количественного определения каждого из веществ.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Требования к точности и чувствительности зависят от объекта и цели исследования. При испытании чистоты или примесей используют высокочувствительные методы. Для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постадийного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контроля производства важен фактор времени, затрачиваемый на анализ.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Важным параметром метода анализа является предел чувствительности метода. Этот предел означает наименьшее содержание, при котором можно достоверно обнаружить данное вещество. Наименее чувствительными являются химические методы анализа и качественные реакции. Самые чувствительные ферментные и биологические методы, позволяющие обнаруживать единичные макромолекулы веществ. Из реально применяемых 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lastRenderedPageBreak/>
        <w:t>самыми чувствительными являются радиохимический, каталитический и флуоресцентный методы, позволяющие определять до 10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bdr w:val="none" w:sz="0" w:space="0" w:color="auto" w:frame="1"/>
          <w:vertAlign w:val="superscript"/>
          <w:lang w:eastAsia="ru-RU"/>
        </w:rPr>
        <w:t>-9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%; чувствительность спектрофотометрических методов 10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bdr w:val="none" w:sz="0" w:space="0" w:color="auto" w:frame="1"/>
          <w:vertAlign w:val="superscript"/>
          <w:lang w:eastAsia="ru-RU"/>
        </w:rPr>
        <w:t>-3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-10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bdr w:val="none" w:sz="0" w:space="0" w:color="auto" w:frame="1"/>
          <w:vertAlign w:val="superscript"/>
          <w:lang w:eastAsia="ru-RU"/>
        </w:rPr>
        <w:t>-6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%; потенциометрических 10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bdr w:val="none" w:sz="0" w:space="0" w:color="auto" w:frame="1"/>
          <w:vertAlign w:val="superscript"/>
          <w:lang w:eastAsia="ru-RU"/>
        </w:rPr>
        <w:t>-2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%.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Термин «точность анализа» включает одновременно два понятия: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воспроизводимость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и правильность полученных результатов.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proofErr w:type="spellStart"/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Воспроизводимость</w:t>
      </w:r>
      <w:proofErr w:type="spellEnd"/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–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х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арактеризует рассеяние результатов анализа по сравнению со средним значением.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Правильность –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 отражает разность между действительным и найденным содержанием вещества. Точность анализа зависит от качества приборов, опытности аналитика и т.д. Точность анализа не может быть выше, чем точность наименее точного измерения. Это означает, что если при титровании точность составляет ±0,2 мл плюс ошибка от натекания тоже ±0,2 мл, т.е. суммарно ±0,4 мл то при расходовании 20 мл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титранта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ошибка составляет 0,2%. При уменьшении навески и количества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титранта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точность уменьшается. Таким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образом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титриметрический анализ позволяет выполнять определение с относительной погрешностью ± (0,2-0,3)%. Каждый из методов имеет свою точность. При анализе важно иметь представление о следующих понятиях: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Грубые ошибк</w:t>
      </w:r>
      <w:proofErr w:type="gramStart"/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 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являются просчетом наблюдателя или нарушения методики анализа. Такие результаты отбрасываются как недостоверные.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Систематические ошибки –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 отражают правильность результатов анализа. Они искажают результаты измерений, как правило, в одну сторону на некоторое постоянное значение. Систематические ошибки можно частично устранить введением поправок, калибровкой прибора и т.д.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Случайные ошибки –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 отражают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воспроизводимость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результатов анализа. Они вызываются неконтролируемыми переменными. Среднее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арифметические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случайных ошибок стремится к нулю. Поэтому для расчетов необходимо использовать не результаты единичных измерений, а среднее из нескольких параллельных определений.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lastRenderedPageBreak/>
        <w:t>Абсолютная ошибка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 –</w:t>
      </w:r>
      <w:r w:rsid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представляет собой разность между полученным результатом и истинным значением. Эта ошибка выражается в тех же единицах, что и определяемая величина.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Относительная ошибка 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определения равна отношению абсолютной ошибки к истинному значению определяемой величины. Выражают ее обычно в процентах или долях.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Значения относительных ошибок находятся в зависимости от того каким методом выполняют анализ и что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из себя представляет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анализируемое вещество – индивидуальное вещество и смесь многих компонентов.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Относительная ошибка при исследованиях индивидуальных веществ спектрофотометрическим методом составляет 2-3 %, ИК-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спектрофотометрией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– 5-12%; жидкостной хроматографией 3-4%; потенциометрией 0,3-1%. Сочетанные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методы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как правило снижают точность анализа. Наименее точными являются биологические методы – их относительная ошибка достигает 50%.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Методы идентификации лекарственных веществ.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Важнейшим показателем при испытании лекарственных веществ является их идентификация или как это принято в фармакопейных статьях подлинность. Для определения подлинности лекарственных веществ используют многочисленные методы. Все основные и общие описаны в ГФ Х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1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издания, вып.1. Исторически основной упор делался на химические, в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т.ч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. качественные цветные реакции, характеризующие наличие определенных ионов или функциональных групп у органических соединений, одновременно с этим широко использовались и физические методы. В современных фармакопеях упор делается на физико-химические методы.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Остановимся на основных </w:t>
      </w: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физических методах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Достаточно стабильной константой, характеризующей вещество, его чистоту и подлинность является температура плавления. Этот показатель широко используется для стандартизации субстанций лекарственных веществ. Подробно методы определения температуры плавления описаны в 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lastRenderedPageBreak/>
        <w:t>ГФ Х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1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, самостоятельно вы смогли опробовать его на лабораторных занятиях. Чистое вещество имеет постоянную температуру плавления, однако при добавлении  в него примесей температура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плавления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как правило снижается весьма существенно. Такой эффект называют пробой смешения и именно проба смешения позволяет устанавливать подлинность препарата при наличии стандартного образца или заведомой пробы. Бывают, правда и исключения, так рацемическая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сульфокамфорная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кислота плавится при более высокой температуре, а различные кристаллические формы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индометацина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отличаются температурой плавления. Т.е. данный метод является одним из показателей, позволяющих характеризовать как чистоту продукта, так и его подлинность.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Для некоторых препаратов используют такой показатель как температура затвердевания. Другим показателем,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характеризую-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щим</w:t>
      </w:r>
      <w:proofErr w:type="spellEnd"/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вещество является температура кипения или температурные пределы перегонки. Этим показателем характеризуют жидкие вещества, например, спирт этиловый. Температура кипения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менее характеристичный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показатель, он сильно зависит от давления атмосферы, возможности образования смесей или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азеотропов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и применяется достаточно редко.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Среди других физических методов следует отметить определение </w:t>
      </w: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плотности, вязкости. 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Стандартные методики анализа описаны в ГФ Х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1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.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Методом, характеризующим подлинность препарата является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также определение растворимости его в различных растворителях. По ГФ Х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1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изд. Этот метод характеризуется как свойство, которое может служить ориентировочной характеристикой испытуемого препарата. Наряду с температурой плавления растворимость вещества является одним из параметров, по которому устанавливают подлинность и чистоту практически всех лекарственных веществ. В фармакопее установлена ориентировочная градация веществ по растворимости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от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очень легко растворим до практически не растворим. При этом растворившимся считается вещество, в растворе которого в проходящем свете не наблюдается частиц вещества.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lastRenderedPageBreak/>
        <w:t>Физико-химические методы определения подлинности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Наиболее информативными с точки зрения определения подлинности веществ являются физико-химические методы, основанные на свойствах молекул веще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ств вз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аимодействовать с какими-либо физическими факторами. К физико-химическим методам следует отнести: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1.Спектральные методы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УФ-спектроскопия</w:t>
      </w:r>
      <w:proofErr w:type="gramEnd"/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Спектроскопия в видимом свете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ИК-спектроскопия</w:t>
      </w:r>
      <w:r w:rsid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Флуоресцентная спектроскопия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Атомно-абсорбционная спектроскопия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Рентгеновские методы анализа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Ядерный магнитный резонанс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Рентгеноструктурный анализ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2.Сорбционные методы анализа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Тонкослойная хроматография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Газожидкостная хроматография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Высокоэффективная жидкостная хроматография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Элетрофорез</w:t>
      </w:r>
      <w:proofErr w:type="spellEnd"/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Ионофорез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Гель-хроматография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3.Массовые методы анализа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Масс-спектрометрия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Хроматомассспектрометрия</w:t>
      </w:r>
      <w:proofErr w:type="spellEnd"/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4.Электрохимические методы анализа</w:t>
      </w:r>
    </w:p>
    <w:p w:rsid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Полярография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Электронный парамагнитный резонанс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5.Использование стандартных образцов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Рассмотрим вкратце применимые в фармации из методов анализа.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Подробно все эти методы анализа вам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будут прочитаны в конце декабря 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lastRenderedPageBreak/>
        <w:t>профессором Мягких В.И. Для определения подлинности лекарственных веществ используют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некоторые спектральные методы. Наиболее достоверным является использование низкочастотной области ИК спектроскопии, где полосы поглощения наиболее достоверно отображают данное вещество. Еще эту область называю область отпечатков пальцев.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Как правило, для подтверждения подлинности используют сравнение ИК-спектров, снятых в стандартных условиях стандартного образца и испытуемого образца.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Совпадение всех полос поглощения подтверждает подлинность препарата. Использование УФ и видимой спектроскопии менее достоверно, т.к. характер спектра не является индивидуальным и отражает только определенный хромофор в структуре органического соединения. Атомно-абсорбционная спектроскопия и рентгеновская спектроскопия используются для анализа неорганических соединений, для идентификации химических элементов. Ядерный магнитный резонанс позволяет устанавливать структуру органических соединений и является достоверным методом подтверждения подлинности, однако в силу сложности приборов и дороговизны используется очень редко и, как правило, только в исследовательских целях. Флуоресцентная спектроскопия применима только для определенного класса веществ, флуоресцирующих под действием УФ излучения. При этом спектр флуоресценции и спектр возбуждения флуоресценции достаточно индивидуальны, но сильно зависят от среды, в которой растворено данное вещество. Этот метод чаще используют для количественного определения, особенно малых количеств, поскольку он является одним </w:t>
      </w:r>
      <w:proofErr w:type="gram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из</w:t>
      </w:r>
      <w:proofErr w:type="gram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наиболее чувствительных.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Рентгеноструктурный анализ является наиболее достоверным методом подтверждения структуры вещества, он позволяет установить точную химическую структуру вещества, однако для поточного анализа подлинности просто не пригоден и используется исключительно в научных целях.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b/>
          <w:bCs/>
          <w:color w:val="332F2F"/>
          <w:sz w:val="28"/>
          <w:szCs w:val="28"/>
          <w:bdr w:val="none" w:sz="0" w:space="0" w:color="auto" w:frame="1"/>
          <w:lang w:eastAsia="ru-RU"/>
        </w:rPr>
        <w:t>Сорбционные методы анализа 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нашли очень широкое применение в фармацевтическом анализе. Они используются для определения </w:t>
      </w: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lastRenderedPageBreak/>
        <w:t xml:space="preserve">подлинности, наличия примесей и количественного определения. Подробно об этих методах и  используемой аппаратуре вам будет прочитана лекция профессором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В.И.Мягких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– региональным представителем фирмы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Шимадзу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– одного из главных производителей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хроматографического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оборудования. Эти методы основаны на принципе сорбции-десорбции веществ на определенных носителях в потоке носителя. В зависимости от носителя и сорбента подразделяют на тонкослойную хроматографию, жидкостную колоночную (аналитическую и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препаративную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, в том числе ВЭЖХ), газожидкостную хроматографию, гель фильтрацию, ионофорез. Два последних метода применяются для анализа сложных белковых объектов. Существенным недостатком методов является их относительность, т.е. хроматография может характеризовать вещество и его количество только при сравнении со стандартным веществом. Однако следует отметить как существенное достоинство – высокая достоверность метода и точность, т.к. в хроматографии любая смесь должна разделиться на индивидуальные вещества и результатом анализа является именно индивидуальное вещество.</w:t>
      </w:r>
    </w:p>
    <w:p w:rsidR="000A4CAE" w:rsidRPr="00A009C2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Масс-спектрометрические и электрохимические методы используют для подтверждения подлинности редко.</w:t>
      </w:r>
    </w:p>
    <w:p w:rsidR="000A4CAE" w:rsidRDefault="000A4CAE" w:rsidP="00A009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</w:pPr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Особое место занимают методы определения подлинности в сравнении со стандартным образцом. Этот метод используют достаточно широко в зарубежных фармакопеях для определения подлинности сложных макромолекул, сложных антибиотиков, некоторых витамином, и других веществ, содержащих особенно </w:t>
      </w:r>
      <w:proofErr w:type="spellStart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>хиральные</w:t>
      </w:r>
      <w:proofErr w:type="spellEnd"/>
      <w:r w:rsidRPr="00A009C2">
        <w:rPr>
          <w:rFonts w:ascii="Times New Roman" w:eastAsia="Times New Roman" w:hAnsi="Times New Roman" w:cs="Times New Roman"/>
          <w:color w:val="332F2F"/>
          <w:sz w:val="28"/>
          <w:szCs w:val="28"/>
          <w:lang w:eastAsia="ru-RU"/>
        </w:rPr>
        <w:t xml:space="preserve"> атомы углерода, поскольку определить подлинность оптически активного вещества другими методами сложно или вовсе невозможно. Стандартный образец должен разрабатывать и выпускаться на основании разработанной и утвержденной фармакопейной статьи. В России существуют и применяются всего несколько стандартных образцов и для анализа используют чаще всего так называемые РСО – рабочие стандартные образцы, приготавливаемые непосредственно перед опытом из заведомых субстанций или соответствующих веществ.</w:t>
      </w:r>
      <w:bookmarkStart w:id="0" w:name="_GoBack"/>
      <w:bookmarkEnd w:id="0"/>
    </w:p>
    <w:sectPr w:rsidR="000A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494"/>
    <w:multiLevelType w:val="multilevel"/>
    <w:tmpl w:val="1580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11"/>
    <w:rsid w:val="000A4CAE"/>
    <w:rsid w:val="00147F43"/>
    <w:rsid w:val="002D671E"/>
    <w:rsid w:val="00496B80"/>
    <w:rsid w:val="008C4DD8"/>
    <w:rsid w:val="008F3B11"/>
    <w:rsid w:val="00A009C2"/>
    <w:rsid w:val="00B57DA2"/>
    <w:rsid w:val="00E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5</cp:revision>
  <dcterms:created xsi:type="dcterms:W3CDTF">2018-10-12T06:33:00Z</dcterms:created>
  <dcterms:modified xsi:type="dcterms:W3CDTF">2020-04-16T18:35:00Z</dcterms:modified>
</cp:coreProperties>
</file>